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323232"/>
          <w:sz w:val="28"/>
          <w:shd w:fill="FEFFFF" w:val="clear"/>
        </w:rPr>
        <w:t>Условия взыскания штрафа за нарушение прав потребителей медуслуг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Верховный Суд Российской Федерации разъяснил судебный порядок взыскания штрафа за некачественное оказание платных медицинских услуг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помощи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), </w:t>
      </w:r>
      <w:r>
        <w:rPr>
          <w:rFonts w:ascii="Times New Roman" w:hAnsi="Times New Roman"/>
          <w:color w:val="323232"/>
          <w:sz w:val="28"/>
          <w:shd w:fill="FEFFFF" w:val="clear"/>
        </w:rPr>
        <w:t>указав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моральный вред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причиненный потребителю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подлежит компенсации причинителем вреда при наличии его вины и при условии предъявления соответствующей претензии потребителем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Исходя из положений Закона о защите прав потребителей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устанавливающих ответственность исполнителя услуг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штраф подлежат применению к отношениям в сфере охраны здоровья граждан в т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  <w:r>
        <w:rPr>
          <w:rFonts w:ascii="Times New Roman" w:hAnsi="Times New Roman"/>
          <w:color w:val="323232"/>
          <w:sz w:val="28"/>
          <w:shd w:fill="FEFFFF" w:val="clear"/>
        </w:rPr>
        <w:t>ч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при оказании платных медицинских услуг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Основанием для взыскания в пользу потребителя штрафа является отказ исполнителя в добровольном порядке удовлетворить его требования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Размер компенсации морального вреда определяется судом после установления в судебном порядке факта нарушения прав потребителя и наличии в этом вины исполнителя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Дела о компенсации морального вреда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вытекающего из вреда здоровью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вследствие нарушения Закона Российской Федерации «О защите прав потребителей»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рассматриваются с обязательным участием прокурора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 </w:t>
      </w:r>
    </w:p>
    <w:p w14:paraId="07000000"/>
    <w:p w14:paraId="08000000">
      <w:pPr>
        <w:widowControl w:val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2026-06-08T11:14:58Z</dcterms:created>
  <dcterms:modified xsi:type="dcterms:W3CDTF">2026-06-08T11:14:58Z</dcterms:modified>
</cp:coreProperties>
</file>